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8CF2E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2833BDBE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08E97D1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7962EF2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637DE79D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58C0F4EC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7D80DA12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533AEAA9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4ABBB71C" w14:textId="77777777" w:rsidTr="00E81962">
        <w:trPr>
          <w:trHeight w:val="284"/>
        </w:trPr>
        <w:tc>
          <w:tcPr>
            <w:tcW w:w="1980" w:type="dxa"/>
          </w:tcPr>
          <w:p w14:paraId="164934A2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174D929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675224" w14:paraId="715790D0" w14:textId="77777777" w:rsidTr="00E81962">
        <w:trPr>
          <w:trHeight w:val="296"/>
        </w:trPr>
        <w:tc>
          <w:tcPr>
            <w:tcW w:w="1980" w:type="dxa"/>
          </w:tcPr>
          <w:p w14:paraId="1E6C9660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6D19540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="00A2738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3BEB9A79" w14:textId="77777777" w:rsidTr="00E81962">
        <w:trPr>
          <w:trHeight w:val="284"/>
        </w:trPr>
        <w:tc>
          <w:tcPr>
            <w:tcW w:w="1980" w:type="dxa"/>
          </w:tcPr>
          <w:p w14:paraId="475B703A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9ED33DE" w14:textId="77777777" w:rsidR="00A76194" w:rsidRPr="00013392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013392">
              <w:rPr>
                <w:bCs/>
                <w:sz w:val="18"/>
                <w:szCs w:val="18"/>
              </w:rPr>
              <w:t>Ingineria</w:t>
            </w:r>
            <w:proofErr w:type="spellEnd"/>
            <w:r w:rsidR="0014334B" w:rsidRPr="0001339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bCs/>
                <w:sz w:val="18"/>
                <w:szCs w:val="18"/>
              </w:rPr>
              <w:t>Produselor</w:t>
            </w:r>
            <w:proofErr w:type="spellEnd"/>
            <w:r w:rsidRPr="0001339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7846113B" w14:textId="77777777" w:rsidTr="00E81962">
        <w:trPr>
          <w:trHeight w:val="280"/>
        </w:trPr>
        <w:tc>
          <w:tcPr>
            <w:tcW w:w="1980" w:type="dxa"/>
          </w:tcPr>
          <w:p w14:paraId="5891F11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1DAF717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539BB482" w14:textId="77777777" w:rsidTr="00E81962">
        <w:trPr>
          <w:trHeight w:val="282"/>
        </w:trPr>
        <w:tc>
          <w:tcPr>
            <w:tcW w:w="1980" w:type="dxa"/>
          </w:tcPr>
          <w:p w14:paraId="33100995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094C6A6E" w14:textId="77777777" w:rsidR="00A76194" w:rsidRPr="007240DF" w:rsidRDefault="0089229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="001433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1433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="001433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1768C20F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28E9835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3D4E30DB" w14:textId="77777777" w:rsidTr="00E81962">
        <w:trPr>
          <w:trHeight w:val="273"/>
        </w:trPr>
        <w:tc>
          <w:tcPr>
            <w:tcW w:w="2651" w:type="dxa"/>
            <w:gridSpan w:val="3"/>
          </w:tcPr>
          <w:p w14:paraId="21600B1A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C96B943" w14:textId="77777777" w:rsidR="00C63A1F" w:rsidRPr="000B0C3D" w:rsidRDefault="000B0C3D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 w:rsidRPr="000B0C3D">
              <w:rPr>
                <w:b/>
                <w:sz w:val="18"/>
                <w:szCs w:val="18"/>
                <w:lang w:val="ro-RO"/>
              </w:rPr>
              <w:t>Chimie analitică (1)</w:t>
            </w:r>
          </w:p>
        </w:tc>
      </w:tr>
      <w:tr w:rsidR="00C63A1F" w:rsidRPr="00675224" w14:paraId="11600CDE" w14:textId="77777777" w:rsidTr="00E81962">
        <w:trPr>
          <w:trHeight w:val="215"/>
        </w:trPr>
        <w:tc>
          <w:tcPr>
            <w:tcW w:w="1540" w:type="dxa"/>
            <w:gridSpan w:val="2"/>
          </w:tcPr>
          <w:p w14:paraId="7BB52296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6EFCDD4F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75C3139C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7D447E0" w14:textId="77777777" w:rsidR="00C63A1F" w:rsidRPr="00675224" w:rsidRDefault="000B0C3D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05D62E20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04B43BA0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2F20A539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2CDA6CC7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28BD6B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59BA5007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5B9CF2EF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0B0C3D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218630B7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26F52DA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3CA3230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0EF42FBC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48D80009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34078EFC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21051D5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285A7CA" w14:textId="77777777" w:rsidTr="00E81962">
        <w:trPr>
          <w:trHeight w:val="432"/>
        </w:trPr>
        <w:tc>
          <w:tcPr>
            <w:tcW w:w="3539" w:type="dxa"/>
          </w:tcPr>
          <w:p w14:paraId="5C4414A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3AD960C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406178EC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668C10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2BC2652A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BAFCF8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02B85A2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7566B51F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03F604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1A5C36B8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EABDE8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5106BCFF" w14:textId="77777777" w:rsidTr="00E81962">
        <w:trPr>
          <w:trHeight w:val="431"/>
        </w:trPr>
        <w:tc>
          <w:tcPr>
            <w:tcW w:w="3539" w:type="dxa"/>
          </w:tcPr>
          <w:p w14:paraId="5C82B0E5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1CC92A19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C60B096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54634A79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002CF806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5833BF8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44713C7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45CEA5F0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3C0D091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70DFF2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2F014E29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020451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0A8D6D57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51CFD7C1" w14:textId="77777777" w:rsidTr="00E81962">
        <w:trPr>
          <w:trHeight w:val="215"/>
        </w:trPr>
        <w:tc>
          <w:tcPr>
            <w:tcW w:w="8642" w:type="dxa"/>
          </w:tcPr>
          <w:p w14:paraId="6EA848E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9014C10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05FBB352" w14:textId="77777777" w:rsidTr="00E81962">
        <w:trPr>
          <w:trHeight w:val="215"/>
        </w:trPr>
        <w:tc>
          <w:tcPr>
            <w:tcW w:w="8642" w:type="dxa"/>
          </w:tcPr>
          <w:p w14:paraId="2D94EE1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57DCBAE" w14:textId="77777777" w:rsidR="000017E7" w:rsidRPr="00675224" w:rsidRDefault="000B0C3D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67</w:t>
            </w:r>
          </w:p>
        </w:tc>
      </w:tr>
      <w:tr w:rsidR="000017E7" w:rsidRPr="00675224" w14:paraId="3D232386" w14:textId="77777777" w:rsidTr="00E81962">
        <w:trPr>
          <w:trHeight w:val="215"/>
        </w:trPr>
        <w:tc>
          <w:tcPr>
            <w:tcW w:w="8642" w:type="dxa"/>
          </w:tcPr>
          <w:p w14:paraId="241B13DA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3DD55B7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1ECF3480" w14:textId="77777777" w:rsidTr="00E81962">
        <w:trPr>
          <w:trHeight w:val="215"/>
        </w:trPr>
        <w:tc>
          <w:tcPr>
            <w:tcW w:w="8642" w:type="dxa"/>
          </w:tcPr>
          <w:p w14:paraId="08169B1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664922F6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013392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71C08923" w14:textId="77777777" w:rsidTr="00E81962">
        <w:trPr>
          <w:trHeight w:val="215"/>
        </w:trPr>
        <w:tc>
          <w:tcPr>
            <w:tcW w:w="8642" w:type="dxa"/>
          </w:tcPr>
          <w:p w14:paraId="0E1DD30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93502FE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0259ECC5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55200352" w14:textId="77777777" w:rsidTr="00E81962">
        <w:trPr>
          <w:trHeight w:val="215"/>
        </w:trPr>
        <w:tc>
          <w:tcPr>
            <w:tcW w:w="3967" w:type="dxa"/>
          </w:tcPr>
          <w:p w14:paraId="4EDCE82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0BC30EEB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69</w:t>
            </w:r>
          </w:p>
        </w:tc>
      </w:tr>
      <w:tr w:rsidR="000017E7" w:rsidRPr="00675224" w14:paraId="4C281E87" w14:textId="77777777" w:rsidTr="00E81962">
        <w:trPr>
          <w:trHeight w:val="215"/>
        </w:trPr>
        <w:tc>
          <w:tcPr>
            <w:tcW w:w="3967" w:type="dxa"/>
          </w:tcPr>
          <w:p w14:paraId="482C323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29012A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0B0C3D">
              <w:rPr>
                <w:sz w:val="14"/>
                <w:lang w:val="ro-RO"/>
              </w:rPr>
              <w:t>25</w:t>
            </w:r>
          </w:p>
        </w:tc>
      </w:tr>
      <w:tr w:rsidR="000017E7" w:rsidRPr="00675224" w14:paraId="370D3289" w14:textId="77777777" w:rsidTr="00E81962">
        <w:trPr>
          <w:trHeight w:val="215"/>
        </w:trPr>
        <w:tc>
          <w:tcPr>
            <w:tcW w:w="3967" w:type="dxa"/>
          </w:tcPr>
          <w:p w14:paraId="3A28120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E48B9D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105880A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2E4D043A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328F392F" w14:textId="77777777" w:rsidTr="00F76579">
        <w:trPr>
          <w:trHeight w:val="431"/>
        </w:trPr>
        <w:tc>
          <w:tcPr>
            <w:tcW w:w="1838" w:type="dxa"/>
          </w:tcPr>
          <w:p w14:paraId="5BA7F252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508180B" w14:textId="77777777" w:rsidR="00892294" w:rsidRPr="002C0DD2" w:rsidRDefault="005014DC" w:rsidP="005014DC">
            <w:pPr>
              <w:jc w:val="both"/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CP5. Realizeaza experimente chimice.</w:t>
            </w:r>
          </w:p>
        </w:tc>
      </w:tr>
      <w:tr w:rsidR="00892294" w:rsidRPr="00675224" w14:paraId="73C7230C" w14:textId="77777777" w:rsidTr="00F76579">
        <w:trPr>
          <w:trHeight w:val="432"/>
        </w:trPr>
        <w:tc>
          <w:tcPr>
            <w:tcW w:w="1838" w:type="dxa"/>
          </w:tcPr>
          <w:p w14:paraId="3B919C16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C1DD3EE" w14:textId="77777777" w:rsidR="005014DC" w:rsidRPr="005014DC" w:rsidRDefault="005014DC" w:rsidP="005014DC">
            <w:pPr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CT2. Gandeste analitic</w:t>
            </w:r>
          </w:p>
          <w:p w14:paraId="7F58266D" w14:textId="77777777" w:rsidR="00892294" w:rsidRPr="00892294" w:rsidRDefault="005014DC" w:rsidP="005014DC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CT4. Lucreaza in echipe</w:t>
            </w:r>
          </w:p>
        </w:tc>
      </w:tr>
    </w:tbl>
    <w:p w14:paraId="39988283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AD3BED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D14AFFF" w14:textId="77777777" w:rsidTr="00F76579">
        <w:tc>
          <w:tcPr>
            <w:tcW w:w="2972" w:type="dxa"/>
            <w:vAlign w:val="center"/>
          </w:tcPr>
          <w:p w14:paraId="184E3E57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0CBA5478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6347304C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37364D5D" w14:textId="77777777" w:rsidTr="00F76579">
        <w:tc>
          <w:tcPr>
            <w:tcW w:w="2972" w:type="dxa"/>
            <w:vAlign w:val="center"/>
          </w:tcPr>
          <w:p w14:paraId="63967823" w14:textId="77777777" w:rsidR="000017E7" w:rsidRDefault="005014D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14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identifică și descrie concepte, principii și metode de bază din matematică, fizică, chimie, desen tehnic, economie și informatică.</w:t>
            </w:r>
          </w:p>
          <w:p w14:paraId="733FC3E1" w14:textId="77777777" w:rsidR="00013392" w:rsidRDefault="0001339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5DB0A20D" w14:textId="5FA9DB2E" w:rsidR="00013392" w:rsidRPr="00FD6FD8" w:rsidRDefault="0001339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33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explică și interpretează rezultate teoretice și experimentale din matematică, fizică, chimie, economie, desen tehnic și informatică.</w:t>
            </w:r>
          </w:p>
        </w:tc>
        <w:tc>
          <w:tcPr>
            <w:tcW w:w="3402" w:type="dxa"/>
            <w:vAlign w:val="center"/>
          </w:tcPr>
          <w:p w14:paraId="1445AC3F" w14:textId="77777777" w:rsidR="000017E7" w:rsidRDefault="005014DC" w:rsidP="0014334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operează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concepte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principii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metode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bază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desen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tehnic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informatică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rezolvă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probleme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aplicabilitate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în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validează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soluția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obținută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efectuează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>
              <w:rPr>
                <w:color w:val="000000"/>
                <w:sz w:val="18"/>
                <w:szCs w:val="18"/>
              </w:rPr>
              <w:t>calcule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inginerești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complexitate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medie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r w:rsidRPr="005014D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reprezentări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grafice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letrice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sau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specifice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proiectării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asistate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de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calculator.   </w:t>
            </w:r>
            <w:proofErr w:type="gramEnd"/>
            <w:r w:rsidR="0014334B" w:rsidRPr="0014334B">
              <w:rPr>
                <w:color w:val="000000"/>
                <w:sz w:val="18"/>
                <w:szCs w:val="18"/>
              </w:rPr>
              <w:t xml:space="preserve">          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  </w:t>
            </w:r>
            <w:r w:rsidRPr="005014DC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5014DC">
              <w:rPr>
                <w:color w:val="000000"/>
                <w:sz w:val="18"/>
                <w:szCs w:val="18"/>
              </w:rPr>
              <w:t xml:space="preserve">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descrie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fenomene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procese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fizico-chimice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.</w:t>
            </w:r>
          </w:p>
          <w:p w14:paraId="6B64537D" w14:textId="77777777" w:rsidR="00013392" w:rsidRDefault="00013392" w:rsidP="0014334B">
            <w:pPr>
              <w:rPr>
                <w:color w:val="000000"/>
                <w:sz w:val="18"/>
                <w:szCs w:val="18"/>
              </w:rPr>
            </w:pPr>
          </w:p>
          <w:p w14:paraId="7DDC7FAA" w14:textId="77777777" w:rsidR="00013392" w:rsidRPr="00013392" w:rsidRDefault="00013392" w:rsidP="0001339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13392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aplică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criterii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metode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identificarea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modelarea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experimentarea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analiza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aprecierea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calitativă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cantitativă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fenomenelor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proceselor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specifice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domeniului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fundamental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folosind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inclusiv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tehnologii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digitale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.                                        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achiziționează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prelucrează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date,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interpretează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rezultate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teoretice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experimentale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lastRenderedPageBreak/>
              <w:t>Studentul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concepe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soluții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respectând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standarde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relevante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probleme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complexitate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medie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care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îndeplinesc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nevoile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specificate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respectând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cerințe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sănătate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publică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013392">
              <w:rPr>
                <w:color w:val="000000"/>
                <w:sz w:val="18"/>
                <w:szCs w:val="18"/>
              </w:rPr>
              <w:t>siguranță,bunăstare</w:t>
            </w:r>
            <w:proofErr w:type="spellEnd"/>
            <w:proofErr w:type="gram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mediu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sustenabilitate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factori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economici, precum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alte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constrângeri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specifice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>.</w:t>
            </w:r>
          </w:p>
          <w:p w14:paraId="0F1AA38F" w14:textId="77777777" w:rsidR="00013392" w:rsidRPr="00013392" w:rsidRDefault="00013392" w:rsidP="0001339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13392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elaborează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desene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tehnice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execuție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ansamblu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format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letric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sau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proiectate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asistat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calculator.</w:t>
            </w:r>
          </w:p>
          <w:p w14:paraId="5C45B373" w14:textId="0C014FBD" w:rsidR="00013392" w:rsidRPr="005014DC" w:rsidRDefault="00013392" w:rsidP="0001339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13392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aplică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tehnici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moderne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management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proiect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tehnici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luare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deciziilor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inclusiv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într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-un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cadru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3392">
              <w:rPr>
                <w:color w:val="000000"/>
                <w:sz w:val="18"/>
                <w:szCs w:val="18"/>
              </w:rPr>
              <w:t>multidisciplinar</w:t>
            </w:r>
            <w:proofErr w:type="spellEnd"/>
            <w:r w:rsidRPr="0001339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79021DBD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Studentul/absolventul aplică valorile eticii și deontologiei profesiei de inginer.</w:t>
            </w:r>
          </w:p>
          <w:p w14:paraId="613BC921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4D9FDF5D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0948CD9A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4904461E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4402B714" w14:textId="77777777" w:rsidR="000017E7" w:rsidRPr="00FD6FD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 membru în echipă sau lider al acesteia</w:t>
            </w:r>
          </w:p>
        </w:tc>
      </w:tr>
    </w:tbl>
    <w:p w14:paraId="3942AD1F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DF84AE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96048" w:rsidRPr="00675224" w14:paraId="71D2206B" w14:textId="77777777" w:rsidTr="00866E3A">
        <w:trPr>
          <w:trHeight w:val="230"/>
        </w:trPr>
        <w:tc>
          <w:tcPr>
            <w:tcW w:w="2689" w:type="dxa"/>
          </w:tcPr>
          <w:p w14:paraId="495EC5E1" w14:textId="77777777" w:rsidR="00096048" w:rsidRPr="00675224" w:rsidRDefault="00096048" w:rsidP="00096048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3DA1E88" w14:textId="77777777" w:rsidR="00096048" w:rsidRPr="00096048" w:rsidRDefault="00096048" w:rsidP="00096048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r w:rsidRPr="00096048">
              <w:rPr>
                <w:color w:val="000000"/>
                <w:sz w:val="18"/>
                <w:szCs w:val="18"/>
                <w:lang w:val="ro-RO"/>
              </w:rPr>
              <w:t>Obiectivul disciplinei este de a acorda studenţilor din anul I suportul informaţional pentru prezentarea noţiunilor generale de chimie analitică calitativă</w:t>
            </w:r>
            <w:r w:rsidRPr="00096048">
              <w:rPr>
                <w:color w:val="000000"/>
                <w:sz w:val="18"/>
                <w:szCs w:val="18"/>
                <w:lang w:val="en-GB"/>
              </w:rPr>
              <w:t>.</w:t>
            </w:r>
          </w:p>
        </w:tc>
      </w:tr>
    </w:tbl>
    <w:p w14:paraId="2532A0FC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22569D9E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3BF27717" w14:textId="77777777" w:rsidTr="00FD6FD8">
        <w:trPr>
          <w:trHeight w:val="215"/>
        </w:trPr>
        <w:tc>
          <w:tcPr>
            <w:tcW w:w="5524" w:type="dxa"/>
          </w:tcPr>
          <w:p w14:paraId="6FE98778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6CFEF4F6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0C0870A4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3AD5ED04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192AEE" w:rsidRPr="00675224" w14:paraId="455752C1" w14:textId="77777777" w:rsidTr="00FD6FD8">
        <w:trPr>
          <w:trHeight w:val="228"/>
        </w:trPr>
        <w:tc>
          <w:tcPr>
            <w:tcW w:w="5524" w:type="dxa"/>
          </w:tcPr>
          <w:p w14:paraId="5FCF6F84" w14:textId="77777777" w:rsidR="00192AEE" w:rsidRPr="00606426" w:rsidRDefault="004C71D7" w:rsidP="004C71D7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1.</w:t>
            </w:r>
            <w:r w:rsidR="00096048" w:rsidRPr="00606426">
              <w:rPr>
                <w:sz w:val="18"/>
                <w:szCs w:val="18"/>
                <w:lang w:val="ro-RO"/>
              </w:rPr>
              <w:t xml:space="preserve">Introducere. Substanțele minerale în materii prime alimentare și  în alimente. </w:t>
            </w:r>
          </w:p>
        </w:tc>
        <w:tc>
          <w:tcPr>
            <w:tcW w:w="567" w:type="dxa"/>
          </w:tcPr>
          <w:p w14:paraId="33F603B4" w14:textId="77777777" w:rsidR="00192AEE" w:rsidRPr="00606426" w:rsidRDefault="00096048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</w:tcPr>
          <w:p w14:paraId="7FF8E7AE" w14:textId="77777777" w:rsidR="00192AEE" w:rsidRDefault="00192AEE" w:rsidP="00192AEE">
            <w:pPr>
              <w:jc w:val="center"/>
            </w:pPr>
          </w:p>
          <w:p w14:paraId="0ADCEF82" w14:textId="77777777" w:rsidR="00FD6FD8" w:rsidRPr="00700867" w:rsidRDefault="00FD6FD8" w:rsidP="00FD6FD8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58DCF3EA" w14:textId="77777777" w:rsidR="00192AEE" w:rsidRDefault="00192AEE" w:rsidP="00192AEE">
            <w:pPr>
              <w:jc w:val="center"/>
            </w:pPr>
          </w:p>
          <w:p w14:paraId="2F863FDC" w14:textId="77777777" w:rsidR="00192AEE" w:rsidRDefault="00192AEE" w:rsidP="00192AEE">
            <w:pPr>
              <w:jc w:val="center"/>
            </w:pPr>
          </w:p>
          <w:p w14:paraId="4C4CAB52" w14:textId="77777777" w:rsidR="00192AEE" w:rsidRPr="00675224" w:rsidRDefault="00192AEE" w:rsidP="00FD6FD8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34553ECF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96048" w:rsidRPr="00675224" w14:paraId="72CC1217" w14:textId="77777777" w:rsidTr="00FD6FD8">
        <w:trPr>
          <w:trHeight w:val="228"/>
        </w:trPr>
        <w:tc>
          <w:tcPr>
            <w:tcW w:w="5524" w:type="dxa"/>
          </w:tcPr>
          <w:p w14:paraId="420EA1DC" w14:textId="77777777" w:rsidR="00096048" w:rsidRPr="00606426" w:rsidRDefault="004C71D7" w:rsidP="004C71D7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2.</w:t>
            </w:r>
            <w:r w:rsidR="00096048" w:rsidRPr="00606426">
              <w:rPr>
                <w:sz w:val="18"/>
                <w:szCs w:val="18"/>
                <w:lang w:val="ro-RO"/>
              </w:rPr>
              <w:t>Obiectul şi importanţa studiului chimiei analitice calitative. Reacţii utilizate în chimia analitică.</w:t>
            </w:r>
          </w:p>
        </w:tc>
        <w:tc>
          <w:tcPr>
            <w:tcW w:w="567" w:type="dxa"/>
          </w:tcPr>
          <w:p w14:paraId="46645667" w14:textId="77777777" w:rsidR="00096048" w:rsidRPr="00606426" w:rsidRDefault="004C71D7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2539353" w14:textId="77777777" w:rsidR="00096048" w:rsidRDefault="00096048" w:rsidP="00192AEE">
            <w:pPr>
              <w:jc w:val="center"/>
            </w:pPr>
          </w:p>
        </w:tc>
        <w:tc>
          <w:tcPr>
            <w:tcW w:w="1275" w:type="dxa"/>
            <w:vMerge/>
          </w:tcPr>
          <w:p w14:paraId="2B478BD4" w14:textId="77777777" w:rsidR="00096048" w:rsidRPr="00675224" w:rsidRDefault="00096048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0CAFB4A5" w14:textId="77777777" w:rsidTr="00FD6FD8">
        <w:trPr>
          <w:trHeight w:val="228"/>
        </w:trPr>
        <w:tc>
          <w:tcPr>
            <w:tcW w:w="5524" w:type="dxa"/>
          </w:tcPr>
          <w:p w14:paraId="19DEE08A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 xml:space="preserve">3. Reacţii analitice pe cale uscată şi umedă. Reactivi analitici. Selectivitatea şi sensibilitatea reacţiilor analitice. </w:t>
            </w:r>
          </w:p>
        </w:tc>
        <w:tc>
          <w:tcPr>
            <w:tcW w:w="567" w:type="dxa"/>
          </w:tcPr>
          <w:p w14:paraId="1658BC11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53398E9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77E2074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0799D180" w14:textId="77777777" w:rsidTr="00FD6FD8">
        <w:trPr>
          <w:trHeight w:val="228"/>
        </w:trPr>
        <w:tc>
          <w:tcPr>
            <w:tcW w:w="5524" w:type="dxa"/>
          </w:tcPr>
          <w:p w14:paraId="4BB1E1C0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4. Analiza calitativă  a cationilor. Clasificarea cationilor pe grupe analitice. Grupa acidului clorhidric. </w:t>
            </w:r>
          </w:p>
        </w:tc>
        <w:tc>
          <w:tcPr>
            <w:tcW w:w="567" w:type="dxa"/>
          </w:tcPr>
          <w:p w14:paraId="022E6B5B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49D9250D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A6F36E6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76F079D6" w14:textId="77777777" w:rsidTr="00FD6FD8">
        <w:trPr>
          <w:trHeight w:val="228"/>
        </w:trPr>
        <w:tc>
          <w:tcPr>
            <w:tcW w:w="5524" w:type="dxa"/>
          </w:tcPr>
          <w:p w14:paraId="3306DAF7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5. Grupa hidrogenului sulfurat. </w:t>
            </w:r>
          </w:p>
        </w:tc>
        <w:tc>
          <w:tcPr>
            <w:tcW w:w="567" w:type="dxa"/>
          </w:tcPr>
          <w:p w14:paraId="290B09CD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783CFAC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6C2B6EE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60FEB983" w14:textId="77777777" w:rsidTr="00FD6FD8">
        <w:trPr>
          <w:trHeight w:val="228"/>
        </w:trPr>
        <w:tc>
          <w:tcPr>
            <w:tcW w:w="5524" w:type="dxa"/>
          </w:tcPr>
          <w:p w14:paraId="027EFB7C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6. Grupa sulfurii de amoniu.</w:t>
            </w:r>
          </w:p>
        </w:tc>
        <w:tc>
          <w:tcPr>
            <w:tcW w:w="567" w:type="dxa"/>
          </w:tcPr>
          <w:p w14:paraId="5C827785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430215B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57C6A17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12696F1F" w14:textId="77777777" w:rsidTr="00FD6FD8">
        <w:trPr>
          <w:trHeight w:val="228"/>
        </w:trPr>
        <w:tc>
          <w:tcPr>
            <w:tcW w:w="5524" w:type="dxa"/>
          </w:tcPr>
          <w:p w14:paraId="271FC988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7. Grupa carbonatului de amoniu. </w:t>
            </w:r>
          </w:p>
        </w:tc>
        <w:tc>
          <w:tcPr>
            <w:tcW w:w="567" w:type="dxa"/>
          </w:tcPr>
          <w:p w14:paraId="09833250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92DDA9E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F2891AD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2C9C8B03" w14:textId="77777777" w:rsidTr="00FD6FD8">
        <w:trPr>
          <w:trHeight w:val="228"/>
        </w:trPr>
        <w:tc>
          <w:tcPr>
            <w:tcW w:w="5524" w:type="dxa"/>
          </w:tcPr>
          <w:p w14:paraId="71D8A07F" w14:textId="77777777" w:rsidR="004C71D7" w:rsidRPr="00606426" w:rsidRDefault="004C71D7" w:rsidP="004C71D7">
            <w:pPr>
              <w:jc w:val="both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8. Grupa cationilor fără reactiv de grupă. </w:t>
            </w:r>
          </w:p>
          <w:p w14:paraId="1E9216BC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Prezența cationilor în apele minerale plate şi carbogazoase.</w:t>
            </w:r>
          </w:p>
        </w:tc>
        <w:tc>
          <w:tcPr>
            <w:tcW w:w="567" w:type="dxa"/>
          </w:tcPr>
          <w:p w14:paraId="657EE1AB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4FA43FE0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B335DA6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54A7FB6F" w14:textId="77777777" w:rsidTr="00FD6FD8">
        <w:trPr>
          <w:trHeight w:val="228"/>
        </w:trPr>
        <w:tc>
          <w:tcPr>
            <w:tcW w:w="5524" w:type="dxa"/>
          </w:tcPr>
          <w:p w14:paraId="0C8DC68A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9. Analiza calitativă a anionilor. Clasificarea  anionilor pe grupe analitice. Grupa I anionică.</w:t>
            </w:r>
          </w:p>
        </w:tc>
        <w:tc>
          <w:tcPr>
            <w:tcW w:w="567" w:type="dxa"/>
          </w:tcPr>
          <w:p w14:paraId="36064472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97C989D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BF798A7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1E58B5A9" w14:textId="77777777" w:rsidTr="00FD6FD8">
        <w:trPr>
          <w:trHeight w:val="228"/>
        </w:trPr>
        <w:tc>
          <w:tcPr>
            <w:tcW w:w="5524" w:type="dxa"/>
          </w:tcPr>
          <w:p w14:paraId="4B65B714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10. Grupa II anionică.</w:t>
            </w:r>
          </w:p>
        </w:tc>
        <w:tc>
          <w:tcPr>
            <w:tcW w:w="567" w:type="dxa"/>
          </w:tcPr>
          <w:p w14:paraId="182D475F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C17B778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4E633A9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3638B7A5" w14:textId="77777777" w:rsidTr="00FD6FD8">
        <w:trPr>
          <w:trHeight w:val="228"/>
        </w:trPr>
        <w:tc>
          <w:tcPr>
            <w:tcW w:w="5524" w:type="dxa"/>
          </w:tcPr>
          <w:p w14:paraId="4C3DD103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11. Grupa III și IV anionică.</w:t>
            </w:r>
          </w:p>
        </w:tc>
        <w:tc>
          <w:tcPr>
            <w:tcW w:w="567" w:type="dxa"/>
          </w:tcPr>
          <w:p w14:paraId="7A8837E7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6D594A0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AB393C4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4D9E86B7" w14:textId="77777777" w:rsidTr="00FD6FD8">
        <w:trPr>
          <w:trHeight w:val="228"/>
        </w:trPr>
        <w:tc>
          <w:tcPr>
            <w:tcW w:w="5524" w:type="dxa"/>
          </w:tcPr>
          <w:p w14:paraId="38EA0EEE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bCs/>
                <w:iCs/>
                <w:sz w:val="18"/>
                <w:szCs w:val="18"/>
                <w:lang w:val="ro-RO"/>
              </w:rPr>
              <w:t xml:space="preserve">12. Grupa V, VI și VII anionică. Identificarea unui amestec de anioni dintr-o soluţie. </w:t>
            </w:r>
          </w:p>
        </w:tc>
        <w:tc>
          <w:tcPr>
            <w:tcW w:w="567" w:type="dxa"/>
          </w:tcPr>
          <w:p w14:paraId="064BA013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E48A3B0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3BC65E9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6AC27A15" w14:textId="77777777" w:rsidTr="00E81962">
        <w:trPr>
          <w:trHeight w:val="215"/>
        </w:trPr>
        <w:tc>
          <w:tcPr>
            <w:tcW w:w="9634" w:type="dxa"/>
            <w:gridSpan w:val="4"/>
          </w:tcPr>
          <w:p w14:paraId="55A309F9" w14:textId="77777777" w:rsidR="004C71D7" w:rsidRPr="00675224" w:rsidRDefault="004C71D7" w:rsidP="004C71D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4C71D7" w:rsidRPr="00675224" w14:paraId="31689CDB" w14:textId="77777777" w:rsidTr="00E81962">
        <w:trPr>
          <w:trHeight w:val="215"/>
        </w:trPr>
        <w:tc>
          <w:tcPr>
            <w:tcW w:w="9634" w:type="dxa"/>
            <w:gridSpan w:val="4"/>
          </w:tcPr>
          <w:p w14:paraId="41D275A9" w14:textId="77777777" w:rsidR="004C71D7" w:rsidRPr="00F639B9" w:rsidRDefault="004C71D7" w:rsidP="004C71D7">
            <w:pPr>
              <w:adjustRightInd w:val="0"/>
              <w:rPr>
                <w:sz w:val="18"/>
                <w:szCs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t>1</w:t>
            </w:r>
            <w:r w:rsidRPr="00F639B9">
              <w:rPr>
                <w:b/>
                <w:sz w:val="18"/>
                <w:szCs w:val="18"/>
                <w:lang w:val="ro-RO"/>
              </w:rPr>
              <w:t>Ana Leahu</w:t>
            </w:r>
            <w:r w:rsidRPr="00F639B9">
              <w:rPr>
                <w:sz w:val="18"/>
                <w:szCs w:val="18"/>
                <w:lang w:val="ro-RO"/>
              </w:rPr>
              <w:t xml:space="preserve">, </w:t>
            </w:r>
            <w:r w:rsidRPr="00F639B9">
              <w:rPr>
                <w:i/>
                <w:sz w:val="18"/>
                <w:szCs w:val="18"/>
                <w:lang w:val="ro-RO"/>
              </w:rPr>
              <w:t>Chimie analitică calitativă</w:t>
            </w:r>
            <w:r w:rsidRPr="00F639B9">
              <w:rPr>
                <w:sz w:val="18"/>
                <w:szCs w:val="18"/>
                <w:lang w:val="ro-RO"/>
              </w:rPr>
              <w:t>, Ed. Universităţii Suceava, 2008;</w:t>
            </w:r>
          </w:p>
          <w:p w14:paraId="41F89BCD" w14:textId="77777777" w:rsidR="004C71D7" w:rsidRPr="00F639B9" w:rsidRDefault="004C71D7" w:rsidP="004C71D7">
            <w:pPr>
              <w:adjustRightInd w:val="0"/>
              <w:rPr>
                <w:bCs/>
                <w:sz w:val="18"/>
                <w:szCs w:val="18"/>
                <w:lang w:val="ro-RO"/>
              </w:rPr>
            </w:pPr>
            <w:r w:rsidRPr="00F639B9">
              <w:rPr>
                <w:bCs/>
                <w:sz w:val="18"/>
                <w:szCs w:val="18"/>
                <w:lang w:val="ro-RO"/>
              </w:rPr>
              <w:t>2. Chirilă Elisabeta, Chimie analitică calittativă-curs universitar. Editura Universităţii Ovidius Constanţa, 2010;</w:t>
            </w:r>
          </w:p>
          <w:p w14:paraId="797DE548" w14:textId="77777777" w:rsidR="004C71D7" w:rsidRPr="00F639B9" w:rsidRDefault="004C71D7" w:rsidP="004C71D7">
            <w:pPr>
              <w:pStyle w:val="BodyText"/>
              <w:ind w:left="142"/>
              <w:rPr>
                <w:sz w:val="18"/>
                <w:szCs w:val="18"/>
                <w:lang w:val="ro-RO"/>
              </w:rPr>
            </w:pPr>
            <w:r w:rsidRPr="00F639B9">
              <w:rPr>
                <w:sz w:val="18"/>
                <w:szCs w:val="18"/>
                <w:lang w:val="ro-RO"/>
              </w:rPr>
              <w:t>3. Magearu V. Chimie analitică – exerciții și probleme cu caracter programat, Editura Didactica și Pedagogică – București, 1979.</w:t>
            </w:r>
          </w:p>
          <w:p w14:paraId="6DD1E4E1" w14:textId="77777777" w:rsidR="004C71D7" w:rsidRPr="00F639B9" w:rsidRDefault="004C71D7" w:rsidP="004C71D7">
            <w:pPr>
              <w:outlineLvl w:val="0"/>
              <w:rPr>
                <w:bCs/>
                <w:kern w:val="36"/>
                <w:sz w:val="18"/>
                <w:szCs w:val="18"/>
                <w:lang w:val="ro-RO" w:eastAsia="ro-RO"/>
              </w:rPr>
            </w:pPr>
            <w:r w:rsidRPr="00F639B9">
              <w:rPr>
                <w:sz w:val="18"/>
                <w:szCs w:val="18"/>
                <w:lang w:val="ro-RO"/>
              </w:rPr>
              <w:t xml:space="preserve">4. </w:t>
            </w:r>
            <w:r w:rsidRPr="00F639B9">
              <w:rPr>
                <w:bCs/>
                <w:kern w:val="36"/>
                <w:sz w:val="18"/>
                <w:szCs w:val="18"/>
                <w:lang w:val="ro-RO" w:eastAsia="ro-RO"/>
              </w:rPr>
              <w:t>Vasile Dorneanu, Gladiola Tantaru, Mihai Apostu, Chimie analitică vol. I, Editura Performantica Iași, 2009;</w:t>
            </w:r>
          </w:p>
          <w:p w14:paraId="284670F8" w14:textId="77777777" w:rsidR="004C71D7" w:rsidRPr="00675224" w:rsidRDefault="00F639B9" w:rsidP="004C71D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F639B9">
              <w:rPr>
                <w:sz w:val="18"/>
                <w:szCs w:val="18"/>
                <w:lang w:val="ro-RO"/>
              </w:rPr>
              <w:t>5. Vlădescu, L., Echilibre omogene în chimia analitică, Ediția a II-a, Ed. Didactică și Pedagogică, București, 2013.</w:t>
            </w:r>
          </w:p>
        </w:tc>
      </w:tr>
    </w:tbl>
    <w:p w14:paraId="15565155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6B729B29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E034" w14:textId="77777777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753A8D" w:rsidRPr="00753A8D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F8D1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1402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8E15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EB444D" w:rsidRPr="00192AEE" w14:paraId="2237DB71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6470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 xml:space="preserve">Norme de protecţia muncii şi P.S.I. în Laboratoarele de Chimie Analitică. Prezentarea laboratorului şi a ustensilelor de laborator. </w:t>
            </w:r>
            <w:r w:rsidRPr="00606426">
              <w:rPr>
                <w:sz w:val="18"/>
                <w:szCs w:val="18"/>
                <w:lang w:val="ro-RO"/>
              </w:rPr>
              <w:t>Prezentarea lucrărilor de laborator.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EFEE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57619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  <w:p w14:paraId="7250617D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Explicaţia, dezbaterea, demonstraţia.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F266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75B992C1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5438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Recapitulare, noțiuni despre acizi, baze, săruri, oxizi, cationi, anioni, radical acid.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BDD6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9E40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B91F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5C877D08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F4AA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  <w:lang w:val="ro-RO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cationii grupei acidului clorhidric.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1605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4B85D3" w14:textId="77777777" w:rsidR="00EB444D" w:rsidRPr="00EB444D" w:rsidRDefault="00EB444D" w:rsidP="00EB444D">
            <w:pPr>
              <w:rPr>
                <w:color w:val="000000"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Experiment prin executarea analizelor de laborator.</w:t>
            </w:r>
          </w:p>
          <w:p w14:paraId="5D59B87B" w14:textId="77777777" w:rsidR="00EB444D" w:rsidRPr="00EB444D" w:rsidRDefault="00EB444D" w:rsidP="00EB444D">
            <w:pPr>
              <w:rPr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Lucru individual</w:t>
            </w:r>
          </w:p>
          <w:p w14:paraId="560735CD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E19F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2096BFCD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87E1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 xml:space="preserve">Reacţii de identificare pentru cationii grupei hidrogenului sulfurat </w:t>
            </w:r>
            <w:r w:rsidRPr="00606426">
              <w:rPr>
                <w:color w:val="000000"/>
                <w:sz w:val="18"/>
                <w:szCs w:val="18"/>
                <w:lang w:val="ro-RO"/>
              </w:rPr>
              <w:t>Exerciţii aplicative.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92C2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A41C62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917A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06164625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414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 xml:space="preserve">Reacţii de identificare pentru cationii grupei sulfurii de amoniu. </w:t>
            </w:r>
            <w:r w:rsidRPr="00606426">
              <w:rPr>
                <w:color w:val="000000"/>
                <w:sz w:val="18"/>
                <w:szCs w:val="18"/>
                <w:lang w:val="ro-RO"/>
              </w:rPr>
              <w:t>Exerciţii aplicative.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AD7B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615D5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7786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52FCBEC3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B3AA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cationii grupei carbonatului de amoniu.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3968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0A8C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6670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41962E3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2425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cationii grupei fără reactiv de grupă.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6919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EACC4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9605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2B1BE660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2C7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anionii grupei I-îi.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A8DF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93EEB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70EC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76C71D97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C624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anionii grupei a II-a.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480B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7963B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0CCF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2C448F3C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1321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anionii grupei a III-a. Reacţii de identificare pentru anionii grupei a IV-a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BAC6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AF2FA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1BC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4FDE4252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C6E3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lastRenderedPageBreak/>
              <w:t>Reacţii de identificare pentru anionii grupei a V-a. Reacţii de identificare pentru anionii grupei a VI-a.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E75A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4F53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DEA5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06426" w:rsidRPr="00192AEE" w14:paraId="3BA19E4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3096" w14:textId="77777777" w:rsidR="00753A8D" w:rsidRPr="00753A8D" w:rsidRDefault="00753A8D" w:rsidP="00753A8D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753A8D">
              <w:rPr>
                <w:sz w:val="18"/>
                <w:szCs w:val="18"/>
                <w:lang w:val="ro-RO"/>
              </w:rPr>
              <w:t>Test final</w:t>
            </w:r>
            <w:r w:rsidRPr="00753A8D">
              <w:rPr>
                <w:b/>
                <w:bCs/>
                <w:sz w:val="18"/>
                <w:szCs w:val="18"/>
                <w:lang w:val="ro-RO"/>
              </w:rPr>
              <w:t xml:space="preserve">. </w:t>
            </w:r>
            <w:r w:rsidRPr="00753A8D">
              <w:rPr>
                <w:sz w:val="18"/>
                <w:szCs w:val="18"/>
                <w:lang w:val="ro-RO"/>
              </w:rPr>
              <w:t>Verificarea cunoştinţelor dobândite în laborator.</w:t>
            </w:r>
          </w:p>
          <w:p w14:paraId="3B8BBA71" w14:textId="77777777" w:rsidR="00606426" w:rsidRPr="00606426" w:rsidRDefault="00753A8D" w:rsidP="00753A8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753A8D">
              <w:rPr>
                <w:sz w:val="18"/>
                <w:szCs w:val="18"/>
                <w:lang w:val="ro-RO"/>
              </w:rPr>
              <w:t>Evaluare prin întrebări şi probleme din lucările de laborator. Evaluarea activităţii individuale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539E" w14:textId="77777777" w:rsidR="00606426" w:rsidRPr="00192AEE" w:rsidRDefault="00606426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DB0C" w14:textId="77777777" w:rsidR="00606426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sz w:val="18"/>
                <w:szCs w:val="18"/>
                <w:lang w:val="ro-RO"/>
              </w:rPr>
              <w:t>Rezolvare probleme în grupuri mici, sau la tablă cu ajutor şi explicaţii de câte ori este cazul.</w:t>
            </w: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1E92" w14:textId="77777777" w:rsidR="00606426" w:rsidRPr="00192AEE" w:rsidRDefault="00606426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54C0805C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0DF0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5E6148D0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30E5" w14:textId="77777777" w:rsidR="00753A8D" w:rsidRPr="00753A8D" w:rsidRDefault="00192AEE" w:rsidP="00753A8D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753A8D">
              <w:rPr>
                <w:bCs/>
                <w:sz w:val="18"/>
                <w:szCs w:val="18"/>
                <w:lang w:val="ro-RO"/>
              </w:rPr>
              <w:t>1</w:t>
            </w:r>
            <w:r w:rsidR="00753A8D" w:rsidRPr="00753A8D">
              <w:rPr>
                <w:sz w:val="18"/>
                <w:szCs w:val="18"/>
                <w:lang w:val="ro-RO"/>
              </w:rPr>
              <w:t xml:space="preserve">Ana Leahu, </w:t>
            </w:r>
            <w:r w:rsidR="00753A8D" w:rsidRPr="00753A8D">
              <w:rPr>
                <w:i/>
                <w:sz w:val="18"/>
                <w:szCs w:val="18"/>
                <w:lang w:val="ro-RO"/>
              </w:rPr>
              <w:t>Chimie analitică calitativă</w:t>
            </w:r>
            <w:r w:rsidR="00753A8D" w:rsidRPr="00753A8D">
              <w:rPr>
                <w:sz w:val="18"/>
                <w:szCs w:val="18"/>
                <w:lang w:val="ro-RO"/>
              </w:rPr>
              <w:t>, Ed. Universităţii Suceava, 2008;</w:t>
            </w:r>
          </w:p>
          <w:p w14:paraId="13A5BB7A" w14:textId="77777777" w:rsidR="00753A8D" w:rsidRPr="00753A8D" w:rsidRDefault="00753A8D" w:rsidP="00753A8D">
            <w:pPr>
              <w:rPr>
                <w:sz w:val="18"/>
                <w:szCs w:val="18"/>
                <w:lang w:val="ro-RO" w:eastAsia="ro-RO"/>
              </w:rPr>
            </w:pPr>
            <w:r w:rsidRPr="00753A8D">
              <w:rPr>
                <w:sz w:val="18"/>
                <w:szCs w:val="18"/>
                <w:lang w:val="ro-RO" w:eastAsia="ro-RO"/>
              </w:rPr>
              <w:t xml:space="preserve">Ana Leahu, </w:t>
            </w:r>
            <w:r w:rsidRPr="00753A8D">
              <w:rPr>
                <w:i/>
                <w:sz w:val="18"/>
                <w:szCs w:val="18"/>
                <w:lang w:val="ro-RO" w:eastAsia="ro-RO"/>
              </w:rPr>
              <w:t>Îndrumar de lucrări practice de chimie analitică</w:t>
            </w:r>
            <w:r w:rsidRPr="00753A8D">
              <w:rPr>
                <w:sz w:val="18"/>
                <w:szCs w:val="18"/>
                <w:lang w:val="ro-RO" w:eastAsia="ro-RO"/>
              </w:rPr>
              <w:t xml:space="preserve"> – în curs de apariţie;</w:t>
            </w:r>
          </w:p>
          <w:p w14:paraId="5815FB94" w14:textId="77777777" w:rsidR="00192AEE" w:rsidRPr="00192AEE" w:rsidRDefault="00753A8D" w:rsidP="00753A8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753A8D">
              <w:rPr>
                <w:sz w:val="18"/>
                <w:szCs w:val="18"/>
                <w:lang w:val="ro-RO"/>
              </w:rPr>
              <w:t>G.C. Constantinescu, I. Roșca , I. Jitaru, C. Constantinescu, “Chimie anorganică și analitică", E.D.P., București, 1983.</w:t>
            </w:r>
          </w:p>
        </w:tc>
      </w:tr>
    </w:tbl>
    <w:p w14:paraId="55332A8E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6F45F02" w14:textId="77777777" w:rsidR="000017E7" w:rsidRPr="00675224" w:rsidRDefault="000017E7" w:rsidP="004C71D7">
      <w:pPr>
        <w:pStyle w:val="ListParagraph"/>
        <w:numPr>
          <w:ilvl w:val="0"/>
          <w:numId w:val="55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7824A16F" w14:textId="77777777" w:rsidTr="00FD6FD8">
        <w:trPr>
          <w:trHeight w:val="549"/>
        </w:trPr>
        <w:tc>
          <w:tcPr>
            <w:tcW w:w="988" w:type="dxa"/>
          </w:tcPr>
          <w:p w14:paraId="07ED85E7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3E36AEE8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52E0D8C4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16E8B2EB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dinnotafinală</w:t>
            </w:r>
          </w:p>
        </w:tc>
      </w:tr>
      <w:tr w:rsidR="000135F6" w:rsidRPr="00675224" w14:paraId="33F2AA20" w14:textId="77777777" w:rsidTr="00FD6FD8">
        <w:trPr>
          <w:trHeight w:val="244"/>
        </w:trPr>
        <w:tc>
          <w:tcPr>
            <w:tcW w:w="988" w:type="dxa"/>
          </w:tcPr>
          <w:p w14:paraId="305204C7" w14:textId="77777777" w:rsidR="000135F6" w:rsidRPr="00700867" w:rsidRDefault="000135F6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558E1E08" w14:textId="77777777" w:rsidR="000135F6" w:rsidRPr="00700867" w:rsidRDefault="000135F6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 va evalua realizarea experimentelor chimice (CP5).</w:t>
            </w:r>
          </w:p>
        </w:tc>
        <w:tc>
          <w:tcPr>
            <w:tcW w:w="2126" w:type="dxa"/>
          </w:tcPr>
          <w:p w14:paraId="48230DA5" w14:textId="77777777" w:rsidR="000135F6" w:rsidRDefault="000135F6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Examen scris urmat de verificare orală a gradului de îndeplinire a cerinţelor în lucrarea scrisă</w:t>
            </w:r>
          </w:p>
        </w:tc>
        <w:tc>
          <w:tcPr>
            <w:tcW w:w="850" w:type="dxa"/>
          </w:tcPr>
          <w:p w14:paraId="03CF4CA2" w14:textId="77777777" w:rsidR="000135F6" w:rsidRPr="00700867" w:rsidRDefault="000135F6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42BBA696" w14:textId="77777777" w:rsidR="000135F6" w:rsidRPr="00700867" w:rsidRDefault="000135F6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</w:t>
            </w:r>
            <w:r w:rsidRPr="00700867">
              <w:rPr>
                <w:bCs/>
                <w:sz w:val="18"/>
                <w:szCs w:val="18"/>
              </w:rPr>
              <w:t>0%</w:t>
            </w:r>
          </w:p>
        </w:tc>
      </w:tr>
      <w:tr w:rsidR="000135F6" w:rsidRPr="00675224" w14:paraId="4EC3C1A6" w14:textId="77777777" w:rsidTr="000A62A5">
        <w:trPr>
          <w:trHeight w:val="874"/>
        </w:trPr>
        <w:tc>
          <w:tcPr>
            <w:tcW w:w="988" w:type="dxa"/>
          </w:tcPr>
          <w:p w14:paraId="7F755B19" w14:textId="77777777" w:rsidR="000135F6" w:rsidRDefault="000135F6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  <w:p w14:paraId="5434C73D" w14:textId="77777777" w:rsidR="000135F6" w:rsidRPr="00700867" w:rsidRDefault="000135F6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</w:tcPr>
          <w:p w14:paraId="07CC646D" w14:textId="77777777" w:rsidR="000135F6" w:rsidRPr="00700867" w:rsidRDefault="000135F6" w:rsidP="002C0DD2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Se va evalua </w:t>
            </w:r>
            <w:r w:rsidRPr="00700867">
              <w:rPr>
                <w:sz w:val="18"/>
                <w:szCs w:val="18"/>
                <w:lang w:val="ro-RO"/>
              </w:rPr>
              <w:t xml:space="preserve">modul în care se identifică, descrie şi utilizează adecvat noţiunile specifice </w:t>
            </w:r>
            <w:r>
              <w:rPr>
                <w:sz w:val="18"/>
                <w:szCs w:val="18"/>
                <w:lang w:val="ro-RO"/>
              </w:rPr>
              <w:t>in r</w:t>
            </w:r>
            <w:r w:rsidRPr="005014DC">
              <w:rPr>
                <w:sz w:val="18"/>
                <w:szCs w:val="18"/>
                <w:lang w:val="ro-RO"/>
              </w:rPr>
              <w:t>ealiz</w:t>
            </w:r>
            <w:r>
              <w:rPr>
                <w:sz w:val="18"/>
                <w:szCs w:val="18"/>
                <w:lang w:val="ro-RO"/>
              </w:rPr>
              <w:t>area</w:t>
            </w:r>
            <w:r w:rsidRPr="005014DC">
              <w:rPr>
                <w:sz w:val="18"/>
                <w:szCs w:val="18"/>
                <w:lang w:val="ro-RO"/>
              </w:rPr>
              <w:t>a experimente</w:t>
            </w:r>
            <w:r>
              <w:rPr>
                <w:sz w:val="18"/>
                <w:szCs w:val="18"/>
                <w:lang w:val="ro-RO"/>
              </w:rPr>
              <w:t>lor</w:t>
            </w:r>
            <w:r w:rsidRPr="005014DC">
              <w:rPr>
                <w:sz w:val="18"/>
                <w:szCs w:val="18"/>
                <w:lang w:val="ro-RO"/>
              </w:rPr>
              <w:t xml:space="preserve"> chimice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700867">
              <w:rPr>
                <w:sz w:val="18"/>
                <w:szCs w:val="18"/>
                <w:lang w:val="ro-RO"/>
              </w:rPr>
              <w:t>(CP</w:t>
            </w:r>
            <w:r>
              <w:rPr>
                <w:sz w:val="18"/>
                <w:szCs w:val="18"/>
                <w:lang w:val="ro-RO"/>
              </w:rPr>
              <w:t>5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47356757" w14:textId="77777777" w:rsidR="000135F6" w:rsidRPr="00BE185B" w:rsidRDefault="000135F6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gandirea analitica (CT2)</w:t>
            </w:r>
          </w:p>
          <w:p w14:paraId="66CA41DB" w14:textId="77777777" w:rsidR="000135F6" w:rsidRPr="00700867" w:rsidRDefault="000135F6" w:rsidP="00FA498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lucrul in echipe  (CT4)</w:t>
            </w:r>
          </w:p>
        </w:tc>
        <w:tc>
          <w:tcPr>
            <w:tcW w:w="2126" w:type="dxa"/>
          </w:tcPr>
          <w:p w14:paraId="784D52CF" w14:textId="77777777" w:rsidR="000135F6" w:rsidRDefault="000135F6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>
              <w:rPr>
                <w:sz w:val="18"/>
                <w:szCs w:val="18"/>
                <w:lang w:val="ro-RO" w:eastAsia="ro-RO"/>
              </w:rPr>
              <w:t>Test de verificare pe parcurs cunostinte teoretice si aplicatii practice</w:t>
            </w:r>
          </w:p>
        </w:tc>
        <w:tc>
          <w:tcPr>
            <w:tcW w:w="850" w:type="dxa"/>
          </w:tcPr>
          <w:p w14:paraId="496ED0C0" w14:textId="77777777" w:rsidR="000135F6" w:rsidRPr="00700867" w:rsidRDefault="000135F6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5</w:t>
            </w:r>
            <w:r w:rsidRPr="00700867">
              <w:rPr>
                <w:sz w:val="18"/>
                <w:szCs w:val="18"/>
              </w:rPr>
              <w:t>0 %</w:t>
            </w:r>
          </w:p>
          <w:p w14:paraId="3B4B31D6" w14:textId="77777777" w:rsidR="000135F6" w:rsidRPr="00700867" w:rsidRDefault="000135F6" w:rsidP="0089229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6E8CE27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496FC26B" w14:textId="77777777" w:rsidTr="00E81962">
        <w:tc>
          <w:tcPr>
            <w:tcW w:w="955" w:type="pct"/>
            <w:vAlign w:val="center"/>
          </w:tcPr>
          <w:p w14:paraId="6C3987A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7615270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487BF1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06B9C293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1F6A3B4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19AC5D54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5F82573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2659AD3B" w14:textId="77777777" w:rsidR="00675D0F" w:rsidRPr="00013392" w:rsidRDefault="00675D0F" w:rsidP="00675D0F">
            <w:pPr>
              <w:jc w:val="center"/>
              <w:rPr>
                <w:bCs/>
              </w:rPr>
            </w:pPr>
            <w:proofErr w:type="spellStart"/>
            <w:r w:rsidRPr="00013392">
              <w:rPr>
                <w:bCs/>
              </w:rPr>
              <w:t>Conf.univ.dr.ing</w:t>
            </w:r>
            <w:proofErr w:type="spellEnd"/>
            <w:r w:rsidRPr="00013392">
              <w:rPr>
                <w:bCs/>
              </w:rPr>
              <w:t>. Ana Leahu</w:t>
            </w:r>
          </w:p>
          <w:p w14:paraId="595783C1" w14:textId="77777777" w:rsidR="00552385" w:rsidRPr="00013392" w:rsidRDefault="00675D0F" w:rsidP="00675D0F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013392">
              <w:rPr>
                <w:bCs/>
              </w:rPr>
              <w:object w:dxaOrig="1485" w:dyaOrig="2580" w14:anchorId="6402E2FC">
                <v:shape id="_x0000_i1025" type="#_x0000_t75" style="width:26.25pt;height:28.5pt" o:ole="">
                  <v:imagedata r:id="rId8" o:title="" gain="1.25"/>
                </v:shape>
                <o:OLEObject Type="Embed" ProgID="PBrush" ShapeID="_x0000_i1025" DrawAspect="Content" ObjectID="_1822639840" r:id="rId9"/>
              </w:object>
            </w:r>
          </w:p>
        </w:tc>
        <w:tc>
          <w:tcPr>
            <w:tcW w:w="2023" w:type="pct"/>
            <w:vAlign w:val="center"/>
          </w:tcPr>
          <w:p w14:paraId="0D665C5B" w14:textId="77777777" w:rsidR="00675D0F" w:rsidRPr="00013392" w:rsidRDefault="00675D0F" w:rsidP="00675D0F">
            <w:pPr>
              <w:jc w:val="center"/>
              <w:rPr>
                <w:bCs/>
              </w:rPr>
            </w:pPr>
            <w:proofErr w:type="spellStart"/>
            <w:r w:rsidRPr="00013392">
              <w:rPr>
                <w:bCs/>
              </w:rPr>
              <w:t>Conf.univ.dr.ing</w:t>
            </w:r>
            <w:proofErr w:type="spellEnd"/>
            <w:r w:rsidRPr="00013392">
              <w:rPr>
                <w:bCs/>
              </w:rPr>
              <w:t>. Ana Leahu</w:t>
            </w:r>
          </w:p>
          <w:p w14:paraId="2AF1CF59" w14:textId="124A65AE" w:rsidR="00552385" w:rsidRPr="00013392" w:rsidRDefault="00675D0F" w:rsidP="00013392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013392">
              <w:rPr>
                <w:bCs/>
              </w:rPr>
              <w:object w:dxaOrig="1485" w:dyaOrig="2580" w14:anchorId="5DCAC9E4">
                <v:shape id="_x0000_i1026" type="#_x0000_t75" style="width:26.25pt;height:28.5pt" o:ole="">
                  <v:imagedata r:id="rId8" o:title="" gain="1.25"/>
                </v:shape>
                <o:OLEObject Type="Embed" ProgID="PBrush" ShapeID="_x0000_i1026" DrawAspect="Content" ObjectID="_1822639841" r:id="rId10"/>
              </w:object>
            </w:r>
          </w:p>
        </w:tc>
      </w:tr>
    </w:tbl>
    <w:p w14:paraId="04852ABF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08765AD7" w14:textId="77777777" w:rsidTr="00E81962">
        <w:tc>
          <w:tcPr>
            <w:tcW w:w="1470" w:type="pct"/>
            <w:vAlign w:val="center"/>
          </w:tcPr>
          <w:p w14:paraId="03C5A2F4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0091BA5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15189428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3F87B209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3C5EB7E" w14:textId="77777777" w:rsidR="00087561" w:rsidRDefault="00087561" w:rsidP="00087561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 xml:space="preserve">. </w:t>
            </w:r>
            <w:r w:rsidR="003E51B7">
              <w:rPr>
                <w:sz w:val="18"/>
                <w:szCs w:val="18"/>
              </w:rPr>
              <w:t>Eufrozina ALBU</w:t>
            </w:r>
          </w:p>
          <w:p w14:paraId="6AE83403" w14:textId="77777777" w:rsidR="003E51B7" w:rsidRPr="003E51B7" w:rsidRDefault="003E51B7" w:rsidP="00013392">
            <w:pPr>
              <w:jc w:val="center"/>
              <w:rPr>
                <w:sz w:val="18"/>
                <w:szCs w:val="18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47B022B1" wp14:editId="4B2FCB99">
                  <wp:extent cx="388620" cy="233172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14" cy="238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03EDD" w14:textId="7777777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6AF87D46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24CC5D2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9EACFD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2034CDE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59134204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F1F7903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057256FD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0E7FD4CC" w14:textId="77777777" w:rsidR="000017E7" w:rsidRPr="00F76579" w:rsidRDefault="00F76579" w:rsidP="0001339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03A28A9F">
                <v:shape id="Object 2" o:spid="_x0000_i1027" type="#_x0000_t75" style="width:42pt;height:18.7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2639842" r:id="rId13"/>
              </w:object>
            </w:r>
          </w:p>
        </w:tc>
      </w:tr>
    </w:tbl>
    <w:p w14:paraId="52D87E3A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0BF9C3E5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66F4AB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691370E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5BC1F22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7DCD753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E3D484B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500B477A" w14:textId="77777777" w:rsidR="00552385" w:rsidRPr="00675D0F" w:rsidRDefault="00552385" w:rsidP="00013392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0DACA7AB" wp14:editId="33A8FD8D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74A6E7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59E79" w14:textId="77777777" w:rsidR="00F5232C" w:rsidRDefault="00F5232C">
      <w:r>
        <w:separator/>
      </w:r>
    </w:p>
  </w:endnote>
  <w:endnote w:type="continuationSeparator" w:id="0">
    <w:p w14:paraId="5714F5C7" w14:textId="77777777" w:rsidR="00F5232C" w:rsidRDefault="00F5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9F7C8" w14:textId="77777777" w:rsidR="00F76579" w:rsidRDefault="00F76579">
    <w:pPr>
      <w:pStyle w:val="BodyText"/>
      <w:spacing w:before="0" w:line="14" w:lineRule="auto"/>
      <w:rPr>
        <w:sz w:val="20"/>
      </w:rPr>
    </w:pPr>
  </w:p>
  <w:p w14:paraId="5343A9D1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6125C1F4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491ECC88" w14:textId="77777777" w:rsidR="00A13A61" w:rsidRDefault="00FD1AFA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0135F6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EC342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F8805" w14:textId="77777777" w:rsidR="00F5232C" w:rsidRDefault="00F5232C">
      <w:r>
        <w:separator/>
      </w:r>
    </w:p>
  </w:footnote>
  <w:footnote w:type="continuationSeparator" w:id="0">
    <w:p w14:paraId="019E684F" w14:textId="77777777" w:rsidR="00F5232C" w:rsidRDefault="00F52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9ED47E4"/>
    <w:multiLevelType w:val="hybridMultilevel"/>
    <w:tmpl w:val="20DCE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ACF56C9"/>
    <w:multiLevelType w:val="hybridMultilevel"/>
    <w:tmpl w:val="EBD023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5CC6BBC"/>
    <w:multiLevelType w:val="hybridMultilevel"/>
    <w:tmpl w:val="CEC4CB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83339876">
    <w:abstractNumId w:val="4"/>
  </w:num>
  <w:num w:numId="2" w16cid:durableId="1628123357">
    <w:abstractNumId w:val="7"/>
  </w:num>
  <w:num w:numId="3" w16cid:durableId="1077702906">
    <w:abstractNumId w:val="13"/>
  </w:num>
  <w:num w:numId="4" w16cid:durableId="1881237051">
    <w:abstractNumId w:val="57"/>
  </w:num>
  <w:num w:numId="5" w16cid:durableId="2136830573">
    <w:abstractNumId w:val="42"/>
  </w:num>
  <w:num w:numId="6" w16cid:durableId="362636211">
    <w:abstractNumId w:val="38"/>
  </w:num>
  <w:num w:numId="7" w16cid:durableId="1723405373">
    <w:abstractNumId w:val="52"/>
  </w:num>
  <w:num w:numId="8" w16cid:durableId="1265839955">
    <w:abstractNumId w:val="6"/>
  </w:num>
  <w:num w:numId="9" w16cid:durableId="1567299236">
    <w:abstractNumId w:val="10"/>
  </w:num>
  <w:num w:numId="10" w16cid:durableId="1324352613">
    <w:abstractNumId w:val="18"/>
  </w:num>
  <w:num w:numId="11" w16cid:durableId="1744373704">
    <w:abstractNumId w:val="51"/>
  </w:num>
  <w:num w:numId="12" w16cid:durableId="132479470">
    <w:abstractNumId w:val="16"/>
  </w:num>
  <w:num w:numId="13" w16cid:durableId="1651984102">
    <w:abstractNumId w:val="11"/>
  </w:num>
  <w:num w:numId="14" w16cid:durableId="1521238893">
    <w:abstractNumId w:val="15"/>
  </w:num>
  <w:num w:numId="15" w16cid:durableId="932012934">
    <w:abstractNumId w:val="0"/>
  </w:num>
  <w:num w:numId="16" w16cid:durableId="1200437710">
    <w:abstractNumId w:val="45"/>
  </w:num>
  <w:num w:numId="17" w16cid:durableId="2041474083">
    <w:abstractNumId w:val="1"/>
  </w:num>
  <w:num w:numId="18" w16cid:durableId="785541623">
    <w:abstractNumId w:val="19"/>
  </w:num>
  <w:num w:numId="19" w16cid:durableId="718091714">
    <w:abstractNumId w:val="27"/>
  </w:num>
  <w:num w:numId="20" w16cid:durableId="1623001253">
    <w:abstractNumId w:val="39"/>
  </w:num>
  <w:num w:numId="21" w16cid:durableId="1480685150">
    <w:abstractNumId w:val="46"/>
  </w:num>
  <w:num w:numId="22" w16cid:durableId="1083986298">
    <w:abstractNumId w:val="17"/>
  </w:num>
  <w:num w:numId="23" w16cid:durableId="91437946">
    <w:abstractNumId w:val="34"/>
  </w:num>
  <w:num w:numId="24" w16cid:durableId="1627463654">
    <w:abstractNumId w:val="36"/>
  </w:num>
  <w:num w:numId="25" w16cid:durableId="1289970148">
    <w:abstractNumId w:val="9"/>
  </w:num>
  <w:num w:numId="26" w16cid:durableId="258370336">
    <w:abstractNumId w:val="3"/>
  </w:num>
  <w:num w:numId="27" w16cid:durableId="1631008679">
    <w:abstractNumId w:val="37"/>
  </w:num>
  <w:num w:numId="28" w16cid:durableId="151216651">
    <w:abstractNumId w:val="25"/>
  </w:num>
  <w:num w:numId="29" w16cid:durableId="1772360712">
    <w:abstractNumId w:val="43"/>
  </w:num>
  <w:num w:numId="30" w16cid:durableId="820342958">
    <w:abstractNumId w:val="5"/>
  </w:num>
  <w:num w:numId="31" w16cid:durableId="80949569">
    <w:abstractNumId w:val="31"/>
  </w:num>
  <w:num w:numId="32" w16cid:durableId="650794406">
    <w:abstractNumId w:val="33"/>
  </w:num>
  <w:num w:numId="33" w16cid:durableId="1772582942">
    <w:abstractNumId w:val="48"/>
  </w:num>
  <w:num w:numId="34" w16cid:durableId="1683506530">
    <w:abstractNumId w:val="54"/>
  </w:num>
  <w:num w:numId="35" w16cid:durableId="746338903">
    <w:abstractNumId w:val="2"/>
  </w:num>
  <w:num w:numId="36" w16cid:durableId="586378126">
    <w:abstractNumId w:val="56"/>
  </w:num>
  <w:num w:numId="37" w16cid:durableId="572542380">
    <w:abstractNumId w:val="49"/>
  </w:num>
  <w:num w:numId="38" w16cid:durableId="564531269">
    <w:abstractNumId w:val="21"/>
  </w:num>
  <w:num w:numId="39" w16cid:durableId="1281492653">
    <w:abstractNumId w:val="41"/>
  </w:num>
  <w:num w:numId="40" w16cid:durableId="609092512">
    <w:abstractNumId w:val="44"/>
  </w:num>
  <w:num w:numId="41" w16cid:durableId="1205293451">
    <w:abstractNumId w:val="55"/>
  </w:num>
  <w:num w:numId="42" w16cid:durableId="1398281571">
    <w:abstractNumId w:val="22"/>
  </w:num>
  <w:num w:numId="43" w16cid:durableId="1728453882">
    <w:abstractNumId w:val="35"/>
  </w:num>
  <w:num w:numId="44" w16cid:durableId="761412981">
    <w:abstractNumId w:val="53"/>
  </w:num>
  <w:num w:numId="45" w16cid:durableId="1623609088">
    <w:abstractNumId w:val="20"/>
  </w:num>
  <w:num w:numId="46" w16cid:durableId="1153789575">
    <w:abstractNumId w:val="26"/>
  </w:num>
  <w:num w:numId="47" w16cid:durableId="101152182">
    <w:abstractNumId w:val="29"/>
  </w:num>
  <w:num w:numId="48" w16cid:durableId="332225246">
    <w:abstractNumId w:val="30"/>
  </w:num>
  <w:num w:numId="49" w16cid:durableId="672729638">
    <w:abstractNumId w:val="8"/>
  </w:num>
  <w:num w:numId="50" w16cid:durableId="870924009">
    <w:abstractNumId w:val="58"/>
  </w:num>
  <w:num w:numId="51" w16cid:durableId="492069910">
    <w:abstractNumId w:val="14"/>
  </w:num>
  <w:num w:numId="52" w16cid:durableId="100760284">
    <w:abstractNumId w:val="23"/>
  </w:num>
  <w:num w:numId="53" w16cid:durableId="2032871187">
    <w:abstractNumId w:val="50"/>
  </w:num>
  <w:num w:numId="54" w16cid:durableId="384911764">
    <w:abstractNumId w:val="24"/>
  </w:num>
  <w:num w:numId="55" w16cid:durableId="1306399312">
    <w:abstractNumId w:val="40"/>
  </w:num>
  <w:num w:numId="56" w16cid:durableId="1711371756">
    <w:abstractNumId w:val="47"/>
  </w:num>
  <w:num w:numId="57" w16cid:durableId="1580823675">
    <w:abstractNumId w:val="32"/>
  </w:num>
  <w:num w:numId="58" w16cid:durableId="1551265116">
    <w:abstractNumId w:val="12"/>
  </w:num>
  <w:num w:numId="59" w16cid:durableId="1410881599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3392"/>
    <w:rsid w:val="000135F6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6048"/>
    <w:rsid w:val="0009747B"/>
    <w:rsid w:val="000B0C3D"/>
    <w:rsid w:val="000B1BCB"/>
    <w:rsid w:val="000B574C"/>
    <w:rsid w:val="000B5777"/>
    <w:rsid w:val="000C2AAB"/>
    <w:rsid w:val="000C35BB"/>
    <w:rsid w:val="000D0089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35311"/>
    <w:rsid w:val="0014334B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5A3"/>
    <w:rsid w:val="001F0D75"/>
    <w:rsid w:val="001F142C"/>
    <w:rsid w:val="00211AB2"/>
    <w:rsid w:val="00227A5D"/>
    <w:rsid w:val="00231A11"/>
    <w:rsid w:val="00232F38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0DD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389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C71D7"/>
    <w:rsid w:val="004D0F3D"/>
    <w:rsid w:val="004E28E8"/>
    <w:rsid w:val="004F1C38"/>
    <w:rsid w:val="005014DC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4398"/>
    <w:rsid w:val="005C5297"/>
    <w:rsid w:val="005D04CB"/>
    <w:rsid w:val="005D0C90"/>
    <w:rsid w:val="005E36E4"/>
    <w:rsid w:val="005E5176"/>
    <w:rsid w:val="005F4CA3"/>
    <w:rsid w:val="005F737F"/>
    <w:rsid w:val="005F7B77"/>
    <w:rsid w:val="00606426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D0F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175B1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A8D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32A4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2738E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4153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A6A8C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51D98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6CB2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B444D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5232C"/>
    <w:rsid w:val="00F61BF7"/>
    <w:rsid w:val="00F639B9"/>
    <w:rsid w:val="00F704C8"/>
    <w:rsid w:val="00F76579"/>
    <w:rsid w:val="00F76A9A"/>
    <w:rsid w:val="00F77118"/>
    <w:rsid w:val="00F945D9"/>
    <w:rsid w:val="00F949FB"/>
    <w:rsid w:val="00F956D7"/>
    <w:rsid w:val="00FA4981"/>
    <w:rsid w:val="00FB4F98"/>
    <w:rsid w:val="00FC1C39"/>
    <w:rsid w:val="00FC4C5C"/>
    <w:rsid w:val="00FC4DD0"/>
    <w:rsid w:val="00FC4FE2"/>
    <w:rsid w:val="00FD1AFA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4A1DBB1B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96CB2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D96CB2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96CB2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96C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D96CB2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D96CB2"/>
    <w:pPr>
      <w:spacing w:before="136"/>
      <w:ind w:left="1306" w:hanging="708"/>
    </w:pPr>
  </w:style>
  <w:style w:type="paragraph" w:styleId="BodyText">
    <w:name w:val="Body Text"/>
    <w:basedOn w:val="Normal"/>
    <w:qFormat/>
    <w:rsid w:val="00D96CB2"/>
    <w:pPr>
      <w:spacing w:before="6"/>
    </w:pPr>
  </w:style>
  <w:style w:type="paragraph" w:styleId="ListParagraph">
    <w:name w:val="List Paragraph"/>
    <w:basedOn w:val="Normal"/>
    <w:uiPriority w:val="34"/>
    <w:qFormat/>
    <w:rsid w:val="00D96CB2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D96CB2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styleId="PageNumber">
    <w:name w:val="page number"/>
    <w:basedOn w:val="DefaultParagraphFont"/>
    <w:rsid w:val="004C71D7"/>
  </w:style>
  <w:style w:type="paragraph" w:styleId="BalloonText">
    <w:name w:val="Balloon Text"/>
    <w:basedOn w:val="Normal"/>
    <w:link w:val="BalloonTextChar"/>
    <w:uiPriority w:val="99"/>
    <w:semiHidden/>
    <w:unhideWhenUsed/>
    <w:rsid w:val="00EB4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44D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49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498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1179</Words>
  <Characters>7818</Characters>
  <Application>Microsoft Office Word</Application>
  <DocSecurity>0</DocSecurity>
  <Lines>390</Lines>
  <Paragraphs>236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Mironeasa</dc:creator>
  <cp:lastModifiedBy>Ancuta Chetrariu</cp:lastModifiedBy>
  <cp:revision>13</cp:revision>
  <dcterms:created xsi:type="dcterms:W3CDTF">2025-09-29T09:23:00Z</dcterms:created>
  <dcterms:modified xsi:type="dcterms:W3CDTF">2025-10-22T09:04:00Z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